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仿宋" w:eastAsia="方正小标宋简体" w:cs="方正仿宋简体"/>
          <w:color w:val="000000"/>
          <w:sz w:val="32"/>
          <w:szCs w:val="32"/>
          <w:lang w:val="en-US" w:eastAsia="zh-CN"/>
        </w:rPr>
        <w:t>其他食品用制品（陶瓷制品）</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4B9E8640">
      <w:pPr>
        <w:snapToGrid w:val="0"/>
        <w:spacing w:line="440" w:lineRule="exact"/>
        <w:ind w:firstLine="440" w:firstLineChars="200"/>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每种产品抽查总数26个，其中16个作为检验样品</w:t>
      </w:r>
      <w:r>
        <w:rPr>
          <w:rFonts w:hint="default" w:ascii="Times New Roman" w:hAnsi="Times New Roman" w:eastAsia="宋体" w:cs="Times New Roman"/>
          <w:color w:val="000000"/>
          <w:sz w:val="22"/>
          <w:szCs w:val="22"/>
          <w:lang w:eastAsia="zh-CN"/>
        </w:rPr>
        <w:t>，</w:t>
      </w:r>
      <w:r>
        <w:rPr>
          <w:rFonts w:hint="default" w:ascii="Times New Roman" w:hAnsi="Times New Roman" w:eastAsia="宋体" w:cs="Times New Roman"/>
          <w:color w:val="000000"/>
          <w:sz w:val="22"/>
          <w:szCs w:val="22"/>
        </w:rPr>
        <w:t>10个作为备用样品。</w:t>
      </w:r>
    </w:p>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lang w:eastAsia="zh-CN"/>
        </w:rPr>
      </w:pPr>
      <w:r>
        <w:rPr>
          <w:rFonts w:hint="default" w:ascii="Times New Roman" w:hAnsi="Times New Roman" w:eastAsia="宋体" w:cs="Times New Roman"/>
          <w:sz w:val="22"/>
          <w:szCs w:val="28"/>
          <w:lang w:eastAsia="zh-CN"/>
        </w:rPr>
        <w:t>现场提取受检产品的标签、说明书、合格证、符合性声明、随附文件等。必要时，应向经销商索取产品外包装（如：纸箱等）所附带的产品信息。</w:t>
      </w:r>
    </w:p>
    <w:p w14:paraId="61AB440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95"/>
        <w:gridCol w:w="2919"/>
        <w:gridCol w:w="2908"/>
        <w:gridCol w:w="11"/>
      </w:tblGrid>
      <w:tr w14:paraId="4B58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8" w:type="dxa"/>
            <w:noWrap w:val="0"/>
            <w:vAlign w:val="top"/>
          </w:tcPr>
          <w:p w14:paraId="35FC07BD">
            <w:pPr>
              <w:snapToGrid w:val="0"/>
              <w:spacing w:line="440" w:lineRule="exact"/>
              <w:jc w:val="center"/>
              <w:rPr>
                <w:rFonts w:ascii="Times New Roman" w:hAnsi="Times New Roman" w:cs="Times New Roman"/>
                <w:color w:val="000000"/>
              </w:rPr>
            </w:pPr>
            <w:r>
              <w:rPr>
                <w:rFonts w:hint="default" w:ascii="Times New Roman" w:hAnsi="Times New Roman" w:cs="Times New Roman"/>
                <w:color w:val="000000"/>
              </w:rPr>
              <w:t>序号</w:t>
            </w:r>
          </w:p>
        </w:tc>
        <w:tc>
          <w:tcPr>
            <w:tcW w:w="2395" w:type="dxa"/>
            <w:noWrap w:val="0"/>
            <w:vAlign w:val="top"/>
          </w:tcPr>
          <w:p w14:paraId="5C0205BD">
            <w:pPr>
              <w:snapToGrid w:val="0"/>
              <w:spacing w:line="440" w:lineRule="exact"/>
              <w:jc w:val="center"/>
              <w:rPr>
                <w:rFonts w:ascii="Times New Roman" w:hAnsi="Times New Roman" w:cs="Times New Roman"/>
                <w:color w:val="000000"/>
              </w:rPr>
            </w:pPr>
            <w:r>
              <w:rPr>
                <w:rFonts w:hint="default" w:ascii="Times New Roman" w:hAnsi="Times New Roman" w:cs="Times New Roman"/>
                <w:color w:val="000000"/>
              </w:rPr>
              <w:t>检验项目</w:t>
            </w:r>
          </w:p>
        </w:tc>
        <w:tc>
          <w:tcPr>
            <w:tcW w:w="2919" w:type="dxa"/>
            <w:noWrap w:val="0"/>
            <w:vAlign w:val="top"/>
          </w:tcPr>
          <w:p w14:paraId="4AC7B082">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检验依据</w:t>
            </w:r>
          </w:p>
        </w:tc>
        <w:tc>
          <w:tcPr>
            <w:tcW w:w="2919" w:type="dxa"/>
            <w:gridSpan w:val="2"/>
            <w:noWrap w:val="0"/>
            <w:vAlign w:val="top"/>
          </w:tcPr>
          <w:p w14:paraId="41CE6346">
            <w:pPr>
              <w:snapToGrid w:val="0"/>
              <w:spacing w:line="440" w:lineRule="exact"/>
              <w:jc w:val="center"/>
              <w:rPr>
                <w:rFonts w:ascii="Times New Roman" w:hAnsi="Times New Roman" w:cs="Times New Roman"/>
                <w:color w:val="000000"/>
              </w:rPr>
            </w:pPr>
            <w:r>
              <w:rPr>
                <w:rFonts w:hint="default" w:ascii="Times New Roman" w:hAnsi="Times New Roman" w:cs="Times New Roman"/>
                <w:color w:val="000000"/>
              </w:rPr>
              <w:t>检验方法</w:t>
            </w:r>
          </w:p>
        </w:tc>
      </w:tr>
      <w:tr w14:paraId="7F92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5F13316A">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2395" w:type="dxa"/>
            <w:noWrap w:val="0"/>
            <w:vAlign w:val="center"/>
          </w:tcPr>
          <w:p w14:paraId="200C19FB">
            <w:pPr>
              <w:snapToGrid w:val="0"/>
              <w:spacing w:line="320" w:lineRule="exact"/>
              <w:jc w:val="center"/>
              <w:rPr>
                <w:rFonts w:hint="eastAsia" w:ascii="Times New Roman" w:hAnsi="Times New Roman" w:cs="Times New Roman"/>
                <w:szCs w:val="21"/>
                <w:lang w:eastAsia="zh-CN"/>
              </w:rPr>
            </w:pPr>
            <w:r>
              <w:rPr>
                <w:rFonts w:hint="default" w:ascii="Times New Roman" w:hAnsi="Times New Roman" w:cs="Times New Roman"/>
                <w:szCs w:val="21"/>
              </w:rPr>
              <w:t>感官要求</w:t>
            </w:r>
          </w:p>
        </w:tc>
        <w:tc>
          <w:tcPr>
            <w:tcW w:w="2919" w:type="dxa"/>
            <w:noWrap w:val="0"/>
            <w:vAlign w:val="center"/>
          </w:tcPr>
          <w:p w14:paraId="69F3A7A2">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c>
          <w:tcPr>
            <w:tcW w:w="2919" w:type="dxa"/>
            <w:gridSpan w:val="2"/>
            <w:noWrap w:val="0"/>
            <w:vAlign w:val="center"/>
          </w:tcPr>
          <w:p w14:paraId="77B8C610">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r>
      <w:tr w14:paraId="03E66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5A308708">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2</w:t>
            </w:r>
          </w:p>
        </w:tc>
        <w:tc>
          <w:tcPr>
            <w:tcW w:w="2395" w:type="dxa"/>
            <w:noWrap w:val="0"/>
            <w:vAlign w:val="center"/>
          </w:tcPr>
          <w:p w14:paraId="1F78F6BA">
            <w:pPr>
              <w:snapToGrid w:val="0"/>
              <w:spacing w:line="320" w:lineRule="exact"/>
              <w:jc w:val="center"/>
              <w:rPr>
                <w:rFonts w:ascii="Times New Roman" w:hAnsi="Times New Roman" w:cs="Times New Roman"/>
                <w:color w:val="000000"/>
              </w:rPr>
            </w:pPr>
            <w:r>
              <w:rPr>
                <w:rFonts w:hint="eastAsia" w:ascii="Times New Roman" w:hAnsi="Times New Roman" w:cs="Times New Roman"/>
                <w:szCs w:val="21"/>
                <w:lang w:eastAsia="zh-CN"/>
              </w:rPr>
              <w:t>铅（</w:t>
            </w:r>
            <w:r>
              <w:rPr>
                <w:rFonts w:hint="eastAsia" w:ascii="Times New Roman" w:hAnsi="Times New Roman" w:cs="Times New Roman"/>
                <w:szCs w:val="21"/>
                <w:lang w:val="en-US" w:eastAsia="zh-CN"/>
              </w:rPr>
              <w:t>Pb</w:t>
            </w:r>
            <w:r>
              <w:rPr>
                <w:rFonts w:hint="eastAsia" w:ascii="Times New Roman" w:hAnsi="Times New Roman" w:cs="Times New Roman"/>
                <w:szCs w:val="21"/>
                <w:lang w:eastAsia="zh-CN"/>
              </w:rPr>
              <w:t>）</w:t>
            </w:r>
          </w:p>
        </w:tc>
        <w:tc>
          <w:tcPr>
            <w:tcW w:w="2919" w:type="dxa"/>
            <w:noWrap w:val="0"/>
            <w:vAlign w:val="center"/>
          </w:tcPr>
          <w:p w14:paraId="0D9C74D7">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c>
          <w:tcPr>
            <w:tcW w:w="2919" w:type="dxa"/>
            <w:gridSpan w:val="2"/>
            <w:noWrap w:val="0"/>
            <w:vAlign w:val="center"/>
          </w:tcPr>
          <w:p w14:paraId="6402DCE1">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GB 31604.34—2016</w:t>
            </w:r>
          </w:p>
        </w:tc>
      </w:tr>
      <w:tr w14:paraId="0E5C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Pr>
        <w:tc>
          <w:tcPr>
            <w:tcW w:w="828" w:type="dxa"/>
            <w:noWrap w:val="0"/>
            <w:vAlign w:val="center"/>
          </w:tcPr>
          <w:p w14:paraId="10FAE14D">
            <w:pPr>
              <w:snapToGrid w:val="0"/>
              <w:spacing w:line="320" w:lineRule="exact"/>
              <w:jc w:val="center"/>
              <w:rPr>
                <w:rFonts w:ascii="Times New Roman" w:hAnsi="Times New Roman" w:cs="Times New Roman"/>
                <w:color w:val="000000"/>
                <w:szCs w:val="21"/>
              </w:rPr>
            </w:pPr>
            <w:r>
              <w:rPr>
                <w:rFonts w:hint="default" w:ascii="Times New Roman" w:hAnsi="Times New Roman" w:cs="Times New Roman"/>
                <w:szCs w:val="21"/>
              </w:rPr>
              <w:t>3</w:t>
            </w:r>
          </w:p>
        </w:tc>
        <w:tc>
          <w:tcPr>
            <w:tcW w:w="2395" w:type="dxa"/>
            <w:noWrap w:val="0"/>
            <w:vAlign w:val="center"/>
          </w:tcPr>
          <w:p w14:paraId="6E8D19CA">
            <w:pPr>
              <w:snapToGrid w:val="0"/>
              <w:spacing w:line="320" w:lineRule="exact"/>
              <w:jc w:val="center"/>
              <w:rPr>
                <w:rFonts w:ascii="Times New Roman" w:hAnsi="Times New Roman" w:cs="Times New Roman"/>
                <w:color w:val="000000"/>
                <w:szCs w:val="21"/>
              </w:rPr>
            </w:pPr>
            <w:r>
              <w:rPr>
                <w:rFonts w:hint="eastAsia" w:ascii="Times New Roman" w:hAnsi="Times New Roman" w:cs="Times New Roman"/>
                <w:szCs w:val="21"/>
                <w:lang w:eastAsia="zh-CN"/>
              </w:rPr>
              <w:t>镉（</w:t>
            </w:r>
            <w:r>
              <w:rPr>
                <w:rFonts w:hint="eastAsia" w:ascii="Times New Roman" w:hAnsi="Times New Roman" w:cs="Times New Roman"/>
                <w:szCs w:val="21"/>
                <w:lang w:val="en-US" w:eastAsia="zh-CN"/>
              </w:rPr>
              <w:t>Cd</w:t>
            </w:r>
            <w:r>
              <w:rPr>
                <w:rFonts w:hint="eastAsia" w:ascii="Times New Roman" w:hAnsi="Times New Roman" w:cs="Times New Roman"/>
                <w:szCs w:val="21"/>
                <w:lang w:eastAsia="zh-CN"/>
              </w:rPr>
              <w:t>）</w:t>
            </w:r>
          </w:p>
        </w:tc>
        <w:tc>
          <w:tcPr>
            <w:tcW w:w="2919" w:type="dxa"/>
            <w:noWrap w:val="0"/>
            <w:vAlign w:val="center"/>
          </w:tcPr>
          <w:p w14:paraId="11FA8207">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c>
          <w:tcPr>
            <w:tcW w:w="2908" w:type="dxa"/>
            <w:noWrap w:val="0"/>
            <w:vAlign w:val="center"/>
          </w:tcPr>
          <w:p w14:paraId="22A86D18">
            <w:pPr>
              <w:snapToGrid w:val="0"/>
              <w:spacing w:line="320" w:lineRule="exact"/>
              <w:jc w:val="center"/>
              <w:rPr>
                <w:rFonts w:ascii="Times New Roman" w:hAnsi="Times New Roman" w:cs="Times New Roman"/>
                <w:color w:val="000000"/>
                <w:szCs w:val="21"/>
              </w:rPr>
            </w:pPr>
            <w:r>
              <w:rPr>
                <w:rFonts w:hint="default" w:ascii="Times New Roman" w:hAnsi="Times New Roman" w:cs="Times New Roman"/>
                <w:szCs w:val="21"/>
              </w:rPr>
              <w:t>GB 31604.24—2016</w:t>
            </w:r>
          </w:p>
        </w:tc>
      </w:tr>
      <w:tr w14:paraId="3854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71442898">
            <w:pPr>
              <w:jc w:val="center"/>
              <w:rPr>
                <w:rFonts w:ascii="Times New Roman" w:hAnsi="Times New Roman" w:cs="Times New Roman"/>
                <w:szCs w:val="21"/>
              </w:rPr>
            </w:pPr>
            <w:r>
              <w:rPr>
                <w:rFonts w:hint="default" w:ascii="Times New Roman" w:hAnsi="Times New Roman" w:cs="Times New Roman"/>
                <w:szCs w:val="21"/>
              </w:rPr>
              <w:t>4</w:t>
            </w:r>
          </w:p>
        </w:tc>
        <w:tc>
          <w:tcPr>
            <w:tcW w:w="2395" w:type="dxa"/>
            <w:noWrap w:val="0"/>
            <w:vAlign w:val="center"/>
          </w:tcPr>
          <w:p w14:paraId="1224C966">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抗热震性</w:t>
            </w:r>
          </w:p>
        </w:tc>
        <w:tc>
          <w:tcPr>
            <w:tcW w:w="2919" w:type="dxa"/>
            <w:noWrap w:val="0"/>
            <w:vAlign w:val="center"/>
          </w:tcPr>
          <w:p w14:paraId="6598807E">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3532—2022</w:t>
            </w:r>
          </w:p>
          <w:p w14:paraId="456D17F2">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10811—2022</w:t>
            </w:r>
          </w:p>
          <w:p w14:paraId="34B7E3FE">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10812—2021</w:t>
            </w:r>
          </w:p>
          <w:p w14:paraId="2152395C">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10813.1—2015</w:t>
            </w:r>
          </w:p>
          <w:p w14:paraId="298600A4">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10814—2009</w:t>
            </w:r>
          </w:p>
          <w:p w14:paraId="30E26063">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10815—2023</w:t>
            </w:r>
          </w:p>
          <w:p w14:paraId="4496C8A1">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10816—2024</w:t>
            </w:r>
          </w:p>
          <w:p w14:paraId="60DCCCB0">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13522—2024</w:t>
            </w:r>
          </w:p>
          <w:p w14:paraId="5F666951">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28114—2011</w:t>
            </w:r>
          </w:p>
          <w:p w14:paraId="147330F2">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28115—2011</w:t>
            </w:r>
          </w:p>
          <w:p w14:paraId="0E187F98">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29491—2013</w:t>
            </w:r>
          </w:p>
        </w:tc>
        <w:tc>
          <w:tcPr>
            <w:tcW w:w="2919" w:type="dxa"/>
            <w:gridSpan w:val="2"/>
            <w:noWrap w:val="0"/>
            <w:vAlign w:val="center"/>
          </w:tcPr>
          <w:p w14:paraId="42A71932">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3298—2022</w:t>
            </w:r>
          </w:p>
        </w:tc>
      </w:tr>
      <w:tr w14:paraId="7353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183337F4">
            <w:pPr>
              <w:jc w:val="center"/>
              <w:rPr>
                <w:rFonts w:ascii="Times New Roman" w:hAnsi="Times New Roman" w:cs="Times New Roman"/>
                <w:color w:val="000000"/>
              </w:rPr>
            </w:pPr>
            <w:r>
              <w:rPr>
                <w:rFonts w:hint="default" w:ascii="Times New Roman" w:hAnsi="Times New Roman" w:cs="Times New Roman"/>
                <w:szCs w:val="21"/>
              </w:rPr>
              <w:t>5</w:t>
            </w:r>
          </w:p>
        </w:tc>
        <w:tc>
          <w:tcPr>
            <w:tcW w:w="2395" w:type="dxa"/>
            <w:noWrap w:val="0"/>
            <w:vAlign w:val="center"/>
          </w:tcPr>
          <w:p w14:paraId="19A70337">
            <w:pPr>
              <w:snapToGrid w:val="0"/>
              <w:spacing w:line="320" w:lineRule="exact"/>
              <w:jc w:val="center"/>
              <w:rPr>
                <w:rFonts w:hint="eastAsia" w:ascii="Times New Roman" w:hAnsi="Times New Roman" w:cs="Times New Roman" w:eastAsiaTheme="minorEastAsia"/>
                <w:color w:val="000000"/>
                <w:lang w:eastAsia="zh-CN"/>
              </w:rPr>
            </w:pPr>
            <w:r>
              <w:rPr>
                <w:rFonts w:hint="default" w:ascii="Times New Roman" w:hAnsi="Times New Roman" w:cs="Times New Roman"/>
                <w:szCs w:val="21"/>
              </w:rPr>
              <w:t>微波炉适应性/</w:t>
            </w:r>
            <w:r>
              <w:rPr>
                <w:rFonts w:hint="eastAsia" w:ascii="Times New Roman" w:hAnsi="Times New Roman" w:cs="Times New Roman"/>
                <w:szCs w:val="21"/>
                <w:lang w:val="en-US" w:eastAsia="zh-CN"/>
              </w:rPr>
              <w:t>耐</w:t>
            </w:r>
            <w:r>
              <w:rPr>
                <w:rFonts w:hint="default" w:ascii="Times New Roman" w:hAnsi="Times New Roman" w:cs="Times New Roman"/>
                <w:szCs w:val="21"/>
              </w:rPr>
              <w:t>微波炉</w:t>
            </w:r>
            <w:r>
              <w:rPr>
                <w:rFonts w:hint="eastAsia" w:ascii="Times New Roman" w:hAnsi="Times New Roman" w:cs="Times New Roman"/>
                <w:szCs w:val="21"/>
                <w:lang w:val="en-US" w:eastAsia="zh-CN"/>
              </w:rPr>
              <w:t>加热</w:t>
            </w:r>
          </w:p>
        </w:tc>
        <w:tc>
          <w:tcPr>
            <w:tcW w:w="2919" w:type="dxa"/>
            <w:noWrap w:val="0"/>
            <w:vAlign w:val="center"/>
          </w:tcPr>
          <w:p w14:paraId="0CFCBE16">
            <w:pPr>
              <w:jc w:val="center"/>
              <w:rPr>
                <w:rFonts w:ascii="Times New Roman" w:hAnsi="Times New Roman" w:cs="Times New Roman"/>
                <w:szCs w:val="21"/>
              </w:rPr>
            </w:pPr>
            <w:r>
              <w:rPr>
                <w:rFonts w:hint="default" w:ascii="Times New Roman" w:hAnsi="Times New Roman" w:cs="Times New Roman"/>
                <w:szCs w:val="21"/>
              </w:rPr>
              <w:t>GB/T 3532—2022</w:t>
            </w:r>
          </w:p>
          <w:p w14:paraId="646B3B90">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10811—2022</w:t>
            </w:r>
          </w:p>
          <w:p w14:paraId="249C0157">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10812—2021</w:t>
            </w:r>
          </w:p>
          <w:p w14:paraId="4FCB4361">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10813.1—2015</w:t>
            </w:r>
          </w:p>
          <w:p w14:paraId="59348D57">
            <w:pPr>
              <w:jc w:val="center"/>
              <w:rPr>
                <w:rFonts w:ascii="Times New Roman" w:hAnsi="Times New Roman" w:cs="Times New Roman"/>
                <w:szCs w:val="21"/>
              </w:rPr>
            </w:pPr>
            <w:r>
              <w:rPr>
                <w:rFonts w:hint="default" w:ascii="Times New Roman" w:hAnsi="Times New Roman" w:cs="Times New Roman"/>
                <w:szCs w:val="21"/>
              </w:rPr>
              <w:t>GB/T 10814—2009</w:t>
            </w:r>
          </w:p>
          <w:p w14:paraId="1A98008B">
            <w:pPr>
              <w:jc w:val="center"/>
              <w:rPr>
                <w:rFonts w:hint="default" w:ascii="Times New Roman" w:hAnsi="Times New Roman" w:cs="Times New Roman"/>
                <w:szCs w:val="21"/>
              </w:rPr>
            </w:pPr>
            <w:r>
              <w:rPr>
                <w:rFonts w:hint="default" w:ascii="Times New Roman" w:hAnsi="Times New Roman" w:cs="Times New Roman"/>
                <w:szCs w:val="21"/>
              </w:rPr>
              <w:t>GB/T 10815—2023</w:t>
            </w:r>
          </w:p>
          <w:p w14:paraId="2CCE0A19">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10816—2024</w:t>
            </w:r>
          </w:p>
          <w:p w14:paraId="0AEF3911">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13522—2024</w:t>
            </w:r>
          </w:p>
          <w:p w14:paraId="799768C7">
            <w:pPr>
              <w:jc w:val="center"/>
              <w:rPr>
                <w:rFonts w:ascii="Times New Roman" w:hAnsi="Times New Roman" w:cs="Times New Roman"/>
                <w:szCs w:val="21"/>
              </w:rPr>
            </w:pPr>
            <w:r>
              <w:rPr>
                <w:rFonts w:hint="default" w:ascii="Times New Roman" w:hAnsi="Times New Roman" w:cs="Times New Roman"/>
                <w:szCs w:val="21"/>
              </w:rPr>
              <w:t>GB/T 28114—2011</w:t>
            </w:r>
          </w:p>
          <w:p w14:paraId="0192DEC6">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28115—2011</w:t>
            </w:r>
          </w:p>
        </w:tc>
        <w:tc>
          <w:tcPr>
            <w:tcW w:w="2919" w:type="dxa"/>
            <w:gridSpan w:val="2"/>
            <w:noWrap w:val="0"/>
            <w:vAlign w:val="center"/>
          </w:tcPr>
          <w:p w14:paraId="71F6658C">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3532—2009</w:t>
            </w:r>
          </w:p>
          <w:p w14:paraId="4A85DDB8">
            <w:pPr>
              <w:jc w:val="center"/>
              <w:rPr>
                <w:rFonts w:ascii="Times New Roman" w:hAnsi="Times New Roman" w:cs="Times New Roman"/>
              </w:rPr>
            </w:pPr>
            <w:r>
              <w:rPr>
                <w:rFonts w:hint="default" w:ascii="Times New Roman" w:hAnsi="Times New Roman" w:cs="Times New Roman"/>
                <w:szCs w:val="21"/>
              </w:rPr>
              <w:t>GB/T 10814—2009</w:t>
            </w:r>
          </w:p>
          <w:p w14:paraId="7CC60AFC">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GB/T 27587—2011</w:t>
            </w:r>
          </w:p>
        </w:tc>
      </w:tr>
      <w:tr w14:paraId="6DBD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79164F93">
            <w:pPr>
              <w:jc w:val="center"/>
              <w:rPr>
                <w:rFonts w:hint="eastAsia" w:ascii="Times New Roman" w:hAnsi="Times New Roman" w:cs="Times New Roman" w:eastAsiaTheme="minorEastAsia"/>
                <w:color w:val="000000"/>
                <w:lang w:val="en-US" w:eastAsia="zh-CN"/>
              </w:rPr>
            </w:pPr>
            <w:r>
              <w:rPr>
                <w:rFonts w:hint="eastAsia" w:ascii="Times New Roman" w:hAnsi="Times New Roman" w:cs="Times New Roman"/>
                <w:color w:val="000000"/>
                <w:lang w:val="en-US" w:eastAsia="zh-CN"/>
              </w:rPr>
              <w:t>6</w:t>
            </w:r>
          </w:p>
        </w:tc>
        <w:tc>
          <w:tcPr>
            <w:tcW w:w="2395" w:type="dxa"/>
            <w:noWrap w:val="0"/>
            <w:vAlign w:val="center"/>
          </w:tcPr>
          <w:p w14:paraId="6DC91D79">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冰箱到微波炉适应性</w:t>
            </w:r>
          </w:p>
        </w:tc>
        <w:tc>
          <w:tcPr>
            <w:tcW w:w="2919" w:type="dxa"/>
            <w:noWrap w:val="0"/>
            <w:vAlign w:val="center"/>
          </w:tcPr>
          <w:p w14:paraId="1A2C1A0F">
            <w:pPr>
              <w:jc w:val="center"/>
              <w:rPr>
                <w:rFonts w:ascii="Times New Roman" w:hAnsi="Times New Roman" w:cs="Times New Roman"/>
                <w:szCs w:val="21"/>
              </w:rPr>
            </w:pPr>
            <w:r>
              <w:rPr>
                <w:rFonts w:hint="default" w:ascii="Times New Roman" w:hAnsi="Times New Roman" w:cs="Times New Roman"/>
                <w:szCs w:val="21"/>
              </w:rPr>
              <w:t>GB/T 3532—2022</w:t>
            </w:r>
          </w:p>
          <w:p w14:paraId="02200DB9">
            <w:pPr>
              <w:jc w:val="center"/>
              <w:rPr>
                <w:rFonts w:ascii="Times New Roman" w:hAnsi="Times New Roman" w:cs="Times New Roman"/>
                <w:szCs w:val="21"/>
              </w:rPr>
            </w:pPr>
            <w:r>
              <w:rPr>
                <w:rFonts w:hint="default" w:ascii="Times New Roman" w:hAnsi="Times New Roman" w:cs="Times New Roman"/>
                <w:szCs w:val="21"/>
              </w:rPr>
              <w:t>GB/T 10811—2022</w:t>
            </w:r>
          </w:p>
          <w:p w14:paraId="0328CBB7">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10812—2021</w:t>
            </w:r>
          </w:p>
          <w:p w14:paraId="512FA791">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10813.1—2015</w:t>
            </w:r>
          </w:p>
          <w:p w14:paraId="1437161B">
            <w:pPr>
              <w:jc w:val="center"/>
              <w:rPr>
                <w:rFonts w:ascii="Times New Roman" w:hAnsi="Times New Roman" w:cs="Times New Roman"/>
                <w:szCs w:val="21"/>
              </w:rPr>
            </w:pPr>
            <w:r>
              <w:rPr>
                <w:rFonts w:hint="default" w:ascii="Times New Roman" w:hAnsi="Times New Roman" w:cs="Times New Roman"/>
                <w:szCs w:val="21"/>
              </w:rPr>
              <w:t>GB/T 10814—2009</w:t>
            </w:r>
          </w:p>
          <w:p w14:paraId="37FE3888">
            <w:pPr>
              <w:jc w:val="center"/>
              <w:rPr>
                <w:rFonts w:hint="default" w:ascii="Times New Roman" w:hAnsi="Times New Roman" w:cs="Times New Roman"/>
                <w:szCs w:val="21"/>
              </w:rPr>
            </w:pPr>
            <w:r>
              <w:rPr>
                <w:rFonts w:hint="default" w:ascii="Times New Roman" w:hAnsi="Times New Roman" w:cs="Times New Roman"/>
                <w:szCs w:val="21"/>
              </w:rPr>
              <w:t>GB/T 10815—2023</w:t>
            </w:r>
          </w:p>
          <w:p w14:paraId="706F8F8F">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10816—2024</w:t>
            </w:r>
          </w:p>
          <w:p w14:paraId="51224111">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13522—2024</w:t>
            </w:r>
          </w:p>
          <w:p w14:paraId="195C22FD">
            <w:pPr>
              <w:snapToGrid w:val="0"/>
              <w:spacing w:line="320" w:lineRule="exact"/>
              <w:ind w:firstLine="0" w:firstLineChars="0"/>
              <w:jc w:val="center"/>
              <w:rPr>
                <w:rFonts w:hint="default" w:ascii="Times New Roman" w:hAnsi="Times New Roman" w:cs="Times New Roman"/>
                <w:szCs w:val="21"/>
              </w:rPr>
            </w:pPr>
            <w:r>
              <w:rPr>
                <w:rFonts w:hint="default" w:ascii="Times New Roman" w:hAnsi="Times New Roman" w:cs="Times New Roman"/>
                <w:szCs w:val="21"/>
              </w:rPr>
              <w:t>GB/T 28114—2011</w:t>
            </w:r>
          </w:p>
        </w:tc>
        <w:tc>
          <w:tcPr>
            <w:tcW w:w="2919" w:type="dxa"/>
            <w:gridSpan w:val="2"/>
            <w:noWrap w:val="0"/>
            <w:vAlign w:val="center"/>
          </w:tcPr>
          <w:p w14:paraId="161A46B9">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3532—2009</w:t>
            </w:r>
          </w:p>
          <w:p w14:paraId="033BC92C">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34253—2017</w:t>
            </w:r>
          </w:p>
          <w:p w14:paraId="45F6E916">
            <w:pPr>
              <w:jc w:val="center"/>
              <w:rPr>
                <w:rFonts w:ascii="Times New Roman" w:hAnsi="Times New Roman" w:cs="Times New Roman"/>
                <w:color w:val="000000"/>
              </w:rPr>
            </w:pPr>
            <w:r>
              <w:rPr>
                <w:rFonts w:hint="default" w:ascii="Times New Roman" w:hAnsi="Times New Roman" w:cs="Times New Roman"/>
                <w:szCs w:val="21"/>
              </w:rPr>
              <w:t>GB/T 10814—2009</w:t>
            </w:r>
          </w:p>
        </w:tc>
      </w:tr>
    </w:tbl>
    <w:p w14:paraId="23B452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4049F90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4F154870">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 4806.4—2016</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食品安全国家标准  陶瓷制品</w:t>
      </w:r>
    </w:p>
    <w:p w14:paraId="08F429A0">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3532—2022</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日用瓷器</w:t>
      </w:r>
    </w:p>
    <w:p w14:paraId="77CF548A">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10811—2022</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釉下/中彩日用瓷器</w:t>
      </w:r>
    </w:p>
    <w:p w14:paraId="33844DCF">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10812—2021</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玲珑日用瓷器</w:t>
      </w:r>
    </w:p>
    <w:p w14:paraId="34512B32">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10813.1—2015</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青瓷器 第1部分：日用青瓷器</w:t>
      </w:r>
    </w:p>
    <w:p w14:paraId="0D7425E7">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10814—2009</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建白日用细瓷器</w:t>
      </w:r>
    </w:p>
    <w:p w14:paraId="2FC999B7">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10815—2023</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日用精陶器</w:t>
      </w:r>
    </w:p>
    <w:p w14:paraId="6CA8B109">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10816—2024</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紫砂陶器</w:t>
      </w:r>
    </w:p>
    <w:p w14:paraId="1F975BE3">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13522—2024</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骨质瓷器</w:t>
      </w:r>
    </w:p>
    <w:p w14:paraId="5217A7C4">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28114—2011</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镁质强化瓷器</w:t>
      </w:r>
    </w:p>
    <w:p w14:paraId="034692D6">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28115—2011</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高石英瓷器</w:t>
      </w:r>
      <w:bookmarkStart w:id="0" w:name="_GoBack"/>
      <w:bookmarkEnd w:id="0"/>
    </w:p>
    <w:p w14:paraId="0DBF88E9">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29491—2013</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日用白云陶器</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086E9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3233452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B7C0579"/>
    <w:rsid w:val="0CD143AE"/>
    <w:rsid w:val="0D343503"/>
    <w:rsid w:val="0DBF67F5"/>
    <w:rsid w:val="0EC70E3B"/>
    <w:rsid w:val="13144FF5"/>
    <w:rsid w:val="149E7B87"/>
    <w:rsid w:val="156C55BC"/>
    <w:rsid w:val="1E7B23CC"/>
    <w:rsid w:val="222A1341"/>
    <w:rsid w:val="29B570DA"/>
    <w:rsid w:val="2B4863B8"/>
    <w:rsid w:val="2B830B12"/>
    <w:rsid w:val="2E5977D4"/>
    <w:rsid w:val="2E8C4181"/>
    <w:rsid w:val="2ED81174"/>
    <w:rsid w:val="33282FA9"/>
    <w:rsid w:val="38A81BB8"/>
    <w:rsid w:val="408E5B37"/>
    <w:rsid w:val="41121D3A"/>
    <w:rsid w:val="42C54070"/>
    <w:rsid w:val="43081BD1"/>
    <w:rsid w:val="439E0D9F"/>
    <w:rsid w:val="46050649"/>
    <w:rsid w:val="46F26E20"/>
    <w:rsid w:val="470C0994"/>
    <w:rsid w:val="48797678"/>
    <w:rsid w:val="4C6D02BD"/>
    <w:rsid w:val="4E227B86"/>
    <w:rsid w:val="4E3A2F69"/>
    <w:rsid w:val="523C53F3"/>
    <w:rsid w:val="534D3EB1"/>
    <w:rsid w:val="58705DF6"/>
    <w:rsid w:val="592E4311"/>
    <w:rsid w:val="59526766"/>
    <w:rsid w:val="5EF030FE"/>
    <w:rsid w:val="62C644AD"/>
    <w:rsid w:val="62F25E17"/>
    <w:rsid w:val="649B4036"/>
    <w:rsid w:val="68932257"/>
    <w:rsid w:val="6BF6440D"/>
    <w:rsid w:val="6E79418D"/>
    <w:rsid w:val="6FD607DD"/>
    <w:rsid w:val="6FF46EB5"/>
    <w:rsid w:val="71BA4C42"/>
    <w:rsid w:val="737C0D9D"/>
    <w:rsid w:val="73C038EC"/>
    <w:rsid w:val="74422159"/>
    <w:rsid w:val="77062301"/>
    <w:rsid w:val="7947444E"/>
    <w:rsid w:val="799A287B"/>
    <w:rsid w:val="7C093CE8"/>
    <w:rsid w:val="7F7F7495"/>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869</Words>
  <Characters>1539</Characters>
  <Lines>0</Lines>
  <Paragraphs>0</Paragraphs>
  <TotalTime>5</TotalTime>
  <ScaleCrop>false</ScaleCrop>
  <LinksUpToDate>false</LinksUpToDate>
  <CharactersWithSpaces>1614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2026-06-09T02:02:53Z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56870284DE9D4527ACF19A3629AC789C_13</vt:lpwstr>
  </property>
  <property fmtid="{D5CDD505-2E9C-101B-9397-08002B2CF9AE}" pid="4" name="KSOTemplateDocerSaveRecord">
    <vt:lpwstr>eyJoZGlkIjoiYjU4YTEyOWI0YTA1NzExMDUyM2E4NzRjZjM1MmQ2OWEiLCJ1c2VySWQiOiIxMTI2NTcyODI0In0=</vt:lpwstr>
  </property>
</Properties>
</file>